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537B1" w14:textId="677012BF" w:rsidR="00FC0915" w:rsidRDefault="00FC0915" w:rsidP="00453E4C">
      <w:r>
        <w:rPr>
          <w:rFonts w:hint="eastAsia"/>
        </w:rPr>
        <w:t>大学病院における大量出血症例への対応体制についての調査</w:t>
      </w:r>
      <w:r w:rsidR="005D4F80">
        <w:rPr>
          <w:rFonts w:hint="eastAsia"/>
        </w:rPr>
        <w:t>のお願い</w:t>
      </w:r>
    </w:p>
    <w:p w14:paraId="7B569798" w14:textId="77777777" w:rsidR="00FC0915" w:rsidRDefault="00FC0915" w:rsidP="00453E4C"/>
    <w:p w14:paraId="2EFAF1CC" w14:textId="75B2D3CE" w:rsidR="005D4F80" w:rsidRDefault="005D4F80" w:rsidP="00453E4C">
      <w:pPr>
        <w:ind w:firstLineChars="142" w:firstLine="284"/>
        <w:rPr>
          <w:sz w:val="20"/>
          <w:szCs w:val="20"/>
        </w:rPr>
      </w:pPr>
      <w:r>
        <w:rPr>
          <w:rFonts w:hint="eastAsia"/>
          <w:sz w:val="20"/>
          <w:szCs w:val="20"/>
        </w:rPr>
        <w:t>今回全国大学病院輸血部会議において</w:t>
      </w:r>
      <w:r w:rsidR="00C0151C">
        <w:rPr>
          <w:rFonts w:hint="eastAsia"/>
          <w:sz w:val="20"/>
          <w:szCs w:val="20"/>
        </w:rPr>
        <w:t>、</w:t>
      </w:r>
      <w:r>
        <w:rPr>
          <w:rFonts w:hint="eastAsia"/>
          <w:sz w:val="20"/>
          <w:szCs w:val="20"/>
        </w:rPr>
        <w:t>大学病院における大量出血症例への対応体制についての現状調査を行</w:t>
      </w:r>
      <w:r w:rsidR="001374D3">
        <w:rPr>
          <w:rFonts w:hint="eastAsia"/>
          <w:sz w:val="20"/>
          <w:szCs w:val="20"/>
        </w:rPr>
        <w:t>い</w:t>
      </w:r>
      <w:r>
        <w:rPr>
          <w:rFonts w:hint="eastAsia"/>
          <w:sz w:val="20"/>
          <w:szCs w:val="20"/>
        </w:rPr>
        <w:t>ます。皆様方におかれましては本調査の趣旨をご理解いただき、本研究へのご協力を賜りますようお願い申し上げます。</w:t>
      </w:r>
    </w:p>
    <w:p w14:paraId="44029B3A" w14:textId="37C762F7" w:rsidR="00FC0915" w:rsidRPr="005D593A" w:rsidRDefault="00FC0915" w:rsidP="00453E4C">
      <w:pPr>
        <w:ind w:firstLineChars="142" w:firstLine="284"/>
        <w:rPr>
          <w:sz w:val="20"/>
          <w:szCs w:val="20"/>
        </w:rPr>
      </w:pPr>
      <w:r w:rsidRPr="005D593A">
        <w:rPr>
          <w:rFonts w:hint="eastAsia"/>
          <w:sz w:val="20"/>
          <w:szCs w:val="20"/>
        </w:rPr>
        <w:t>外傷による死亡の</w:t>
      </w:r>
      <w:r w:rsidRPr="005D593A">
        <w:rPr>
          <w:rFonts w:hint="eastAsia"/>
          <w:sz w:val="20"/>
          <w:szCs w:val="20"/>
        </w:rPr>
        <w:t>30</w:t>
      </w:r>
      <w:r w:rsidRPr="005D593A">
        <w:rPr>
          <w:sz w:val="20"/>
          <w:szCs w:val="20"/>
        </w:rPr>
        <w:t>-40%</w:t>
      </w:r>
      <w:r w:rsidRPr="005D593A">
        <w:rPr>
          <w:rFonts w:hint="eastAsia"/>
          <w:sz w:val="20"/>
          <w:szCs w:val="20"/>
        </w:rPr>
        <w:t>は大量出血が原因とされ</w:t>
      </w:r>
      <w:r>
        <w:rPr>
          <w:rFonts w:hint="eastAsia"/>
          <w:sz w:val="20"/>
          <w:szCs w:val="20"/>
        </w:rPr>
        <w:t>、適切な輸血は救命率の向上につながると考えら</w:t>
      </w:r>
      <w:r w:rsidR="005D4F80">
        <w:rPr>
          <w:rFonts w:hint="eastAsia"/>
          <w:sz w:val="20"/>
          <w:szCs w:val="20"/>
        </w:rPr>
        <w:t>れています</w:t>
      </w:r>
      <w:r>
        <w:rPr>
          <w:rFonts w:hint="eastAsia"/>
          <w:sz w:val="20"/>
          <w:szCs w:val="20"/>
        </w:rPr>
        <w:t>。</w:t>
      </w:r>
      <w:r w:rsidRPr="005D593A">
        <w:rPr>
          <w:rFonts w:hint="eastAsia"/>
          <w:sz w:val="20"/>
          <w:szCs w:val="20"/>
        </w:rPr>
        <w:t>高度救命救急を担</w:t>
      </w:r>
      <w:r>
        <w:rPr>
          <w:rFonts w:hint="eastAsia"/>
          <w:sz w:val="20"/>
          <w:szCs w:val="20"/>
        </w:rPr>
        <w:t>うことが多い</w:t>
      </w:r>
      <w:r w:rsidRPr="005D593A">
        <w:rPr>
          <w:rFonts w:hint="eastAsia"/>
          <w:sz w:val="20"/>
          <w:szCs w:val="20"/>
        </w:rPr>
        <w:t>大学病院において</w:t>
      </w:r>
      <w:r>
        <w:rPr>
          <w:rFonts w:hint="eastAsia"/>
          <w:sz w:val="20"/>
          <w:szCs w:val="20"/>
        </w:rPr>
        <w:t>、</w:t>
      </w:r>
      <w:r w:rsidRPr="005D593A">
        <w:rPr>
          <w:rFonts w:hint="eastAsia"/>
          <w:sz w:val="20"/>
          <w:szCs w:val="20"/>
        </w:rPr>
        <w:t>大量出血</w:t>
      </w:r>
      <w:r>
        <w:rPr>
          <w:rFonts w:hint="eastAsia"/>
          <w:sz w:val="20"/>
          <w:szCs w:val="20"/>
        </w:rPr>
        <w:t>症例</w:t>
      </w:r>
      <w:r w:rsidRPr="005D593A">
        <w:rPr>
          <w:rFonts w:hint="eastAsia"/>
          <w:sz w:val="20"/>
          <w:szCs w:val="20"/>
        </w:rPr>
        <w:t>に</w:t>
      </w:r>
      <w:r>
        <w:rPr>
          <w:rFonts w:hint="eastAsia"/>
          <w:sz w:val="20"/>
          <w:szCs w:val="20"/>
        </w:rPr>
        <w:t>対して救命につながる輸血療法の実施体制が構築されていることは極めて重要</w:t>
      </w:r>
      <w:r w:rsidR="005D4F80">
        <w:rPr>
          <w:rFonts w:hint="eastAsia"/>
          <w:sz w:val="20"/>
          <w:szCs w:val="20"/>
        </w:rPr>
        <w:t>です</w:t>
      </w:r>
      <w:r>
        <w:rPr>
          <w:rFonts w:hint="eastAsia"/>
          <w:sz w:val="20"/>
          <w:szCs w:val="20"/>
        </w:rPr>
        <w:t>。輸血部においては大量出血に対し診療科の要求に即座に対応できる体制を維持する</w:t>
      </w:r>
      <w:r w:rsidRPr="005D593A">
        <w:rPr>
          <w:rFonts w:hint="eastAsia"/>
          <w:sz w:val="20"/>
          <w:szCs w:val="20"/>
        </w:rPr>
        <w:t>とともに</w:t>
      </w:r>
      <w:r>
        <w:rPr>
          <w:rFonts w:hint="eastAsia"/>
          <w:sz w:val="20"/>
          <w:szCs w:val="20"/>
        </w:rPr>
        <w:t>、院内における適切な連携体制を中心となって</w:t>
      </w:r>
      <w:r w:rsidRPr="005D593A">
        <w:rPr>
          <w:rFonts w:hint="eastAsia"/>
          <w:sz w:val="20"/>
          <w:szCs w:val="20"/>
        </w:rPr>
        <w:t>構築</w:t>
      </w:r>
      <w:r>
        <w:rPr>
          <w:rFonts w:hint="eastAsia"/>
          <w:sz w:val="20"/>
          <w:szCs w:val="20"/>
        </w:rPr>
        <w:t>する</w:t>
      </w:r>
      <w:r w:rsidR="005D4F80">
        <w:rPr>
          <w:rFonts w:hint="eastAsia"/>
          <w:sz w:val="20"/>
          <w:szCs w:val="20"/>
        </w:rPr>
        <w:t>ことが求められます</w:t>
      </w:r>
      <w:r w:rsidRPr="005D593A">
        <w:rPr>
          <w:rFonts w:hint="eastAsia"/>
          <w:sz w:val="20"/>
          <w:szCs w:val="20"/>
        </w:rPr>
        <w:t>。</w:t>
      </w:r>
      <w:r w:rsidR="00EB5A03">
        <w:rPr>
          <w:sz w:val="20"/>
          <w:szCs w:val="20"/>
        </w:rPr>
        <w:t xml:space="preserve"> </w:t>
      </w:r>
      <w:bookmarkStart w:id="0" w:name="_GoBack"/>
      <w:bookmarkEnd w:id="0"/>
    </w:p>
    <w:p w14:paraId="3309E766" w14:textId="1AEC2474" w:rsidR="00FC0915" w:rsidRDefault="00FC0915" w:rsidP="00CA002C">
      <w:pPr>
        <w:ind w:firstLineChars="142" w:firstLine="284"/>
        <w:rPr>
          <w:sz w:val="20"/>
          <w:szCs w:val="20"/>
        </w:rPr>
      </w:pPr>
      <w:r>
        <w:rPr>
          <w:rFonts w:hint="eastAsia"/>
          <w:sz w:val="20"/>
          <w:szCs w:val="20"/>
        </w:rPr>
        <w:t>近年</w:t>
      </w:r>
      <w:r w:rsidRPr="005D593A">
        <w:rPr>
          <w:rFonts w:hint="eastAsia"/>
          <w:sz w:val="20"/>
          <w:szCs w:val="20"/>
        </w:rPr>
        <w:t>大量出血への輸血製剤の選択については</w:t>
      </w:r>
      <w:r>
        <w:rPr>
          <w:rFonts w:hint="eastAsia"/>
          <w:sz w:val="20"/>
          <w:szCs w:val="20"/>
        </w:rPr>
        <w:t>、凝固障害に対する対応を念頭において血漿製剤などをセットとして先制使用する輸血療法、いわゆる大量輸血プロトコル</w:t>
      </w:r>
      <w:r>
        <w:rPr>
          <w:sz w:val="20"/>
          <w:szCs w:val="20"/>
        </w:rPr>
        <w:t xml:space="preserve"> (massive transfusion protocol, MTP) </w:t>
      </w:r>
      <w:r>
        <w:rPr>
          <w:rFonts w:hint="eastAsia"/>
          <w:sz w:val="20"/>
          <w:szCs w:val="20"/>
        </w:rPr>
        <w:t>の有用性が報告されてい</w:t>
      </w:r>
      <w:r w:rsidR="005D4F80">
        <w:rPr>
          <w:rFonts w:hint="eastAsia"/>
          <w:sz w:val="20"/>
          <w:szCs w:val="20"/>
        </w:rPr>
        <w:t>ます</w:t>
      </w:r>
      <w:r>
        <w:rPr>
          <w:rFonts w:hint="eastAsia"/>
          <w:sz w:val="20"/>
          <w:szCs w:val="20"/>
        </w:rPr>
        <w:t>。しかし大量出血症例に対する輸血療法の</w:t>
      </w:r>
      <w:r>
        <w:rPr>
          <w:sz w:val="20"/>
          <w:szCs w:val="20"/>
        </w:rPr>
        <w:t>RCT</w:t>
      </w:r>
      <w:r>
        <w:rPr>
          <w:rFonts w:hint="eastAsia"/>
          <w:sz w:val="20"/>
          <w:szCs w:val="20"/>
        </w:rPr>
        <w:t>による検証は困難なことも背景に、その最適な輸血療法は確立しているとは言え</w:t>
      </w:r>
      <w:r w:rsidR="005D4F80">
        <w:rPr>
          <w:rFonts w:hint="eastAsia"/>
          <w:sz w:val="20"/>
          <w:szCs w:val="20"/>
        </w:rPr>
        <w:t>ません</w:t>
      </w:r>
      <w:r>
        <w:rPr>
          <w:rFonts w:hint="eastAsia"/>
          <w:sz w:val="20"/>
          <w:szCs w:val="20"/>
        </w:rPr>
        <w:t>。実際、</w:t>
      </w:r>
      <w:r w:rsidR="005D4F80">
        <w:rPr>
          <w:rFonts w:hint="eastAsia"/>
          <w:sz w:val="20"/>
          <w:szCs w:val="20"/>
        </w:rPr>
        <w:t>次頁</w:t>
      </w:r>
      <w:r>
        <w:rPr>
          <w:sz w:val="20"/>
          <w:szCs w:val="20"/>
        </w:rPr>
        <w:t>Table 1</w:t>
      </w:r>
      <w:r w:rsidRPr="005D593A">
        <w:rPr>
          <w:rFonts w:hint="eastAsia"/>
          <w:sz w:val="20"/>
          <w:szCs w:val="20"/>
        </w:rPr>
        <w:t>のように</w:t>
      </w:r>
      <w:r>
        <w:rPr>
          <w:rFonts w:hint="eastAsia"/>
          <w:sz w:val="20"/>
          <w:szCs w:val="20"/>
        </w:rPr>
        <w:t>多くの知見あるいは</w:t>
      </w:r>
      <w:r w:rsidRPr="005D593A">
        <w:rPr>
          <w:rFonts w:hint="eastAsia"/>
          <w:sz w:val="20"/>
          <w:szCs w:val="20"/>
        </w:rPr>
        <w:t>海外のガイドライン</w:t>
      </w:r>
      <w:r>
        <w:rPr>
          <w:rFonts w:hint="eastAsia"/>
          <w:sz w:val="20"/>
          <w:szCs w:val="20"/>
        </w:rPr>
        <w:t>と</w:t>
      </w:r>
      <w:r w:rsidRPr="005D593A">
        <w:rPr>
          <w:rFonts w:hint="eastAsia"/>
          <w:sz w:val="20"/>
          <w:szCs w:val="20"/>
        </w:rPr>
        <w:t>国内の指針</w:t>
      </w:r>
      <w:r>
        <w:rPr>
          <w:rFonts w:hint="eastAsia"/>
          <w:sz w:val="20"/>
          <w:szCs w:val="20"/>
        </w:rPr>
        <w:t>との間に相違や実施にあたっての問題点が</w:t>
      </w:r>
      <w:r w:rsidRPr="005D593A">
        <w:rPr>
          <w:rFonts w:hint="eastAsia"/>
          <w:sz w:val="20"/>
          <w:szCs w:val="20"/>
        </w:rPr>
        <w:t>見ら</w:t>
      </w:r>
      <w:r>
        <w:rPr>
          <w:rFonts w:hint="eastAsia"/>
          <w:sz w:val="20"/>
          <w:szCs w:val="20"/>
        </w:rPr>
        <w:t>れてい</w:t>
      </w:r>
      <w:r w:rsidR="005D4F80">
        <w:rPr>
          <w:rFonts w:hint="eastAsia"/>
          <w:sz w:val="20"/>
          <w:szCs w:val="20"/>
        </w:rPr>
        <w:t>ます</w:t>
      </w:r>
      <w:r>
        <w:rPr>
          <w:rFonts w:hint="eastAsia"/>
          <w:sz w:val="20"/>
          <w:szCs w:val="20"/>
        </w:rPr>
        <w:t>。近年は救命率の向上を期待して</w:t>
      </w:r>
      <w:r>
        <w:rPr>
          <w:sz w:val="20"/>
          <w:szCs w:val="20"/>
        </w:rPr>
        <w:t>MTP</w:t>
      </w:r>
      <w:r>
        <w:rPr>
          <w:rFonts w:hint="eastAsia"/>
          <w:sz w:val="20"/>
          <w:szCs w:val="20"/>
        </w:rPr>
        <w:t>の策定や、クリオプレシピテート</w:t>
      </w:r>
      <w:r>
        <w:rPr>
          <w:sz w:val="20"/>
          <w:szCs w:val="20"/>
        </w:rPr>
        <w:t xml:space="preserve"> (</w:t>
      </w:r>
      <w:r>
        <w:rPr>
          <w:rFonts w:hint="eastAsia"/>
          <w:sz w:val="20"/>
          <w:szCs w:val="20"/>
        </w:rPr>
        <w:t>以下クリオ</w:t>
      </w:r>
      <w:r>
        <w:rPr>
          <w:sz w:val="20"/>
          <w:szCs w:val="20"/>
        </w:rPr>
        <w:t xml:space="preserve">) </w:t>
      </w:r>
      <w:r>
        <w:rPr>
          <w:rFonts w:hint="eastAsia"/>
          <w:sz w:val="20"/>
          <w:szCs w:val="20"/>
        </w:rPr>
        <w:t>調整を行う施設が増えてきていおり、その有効性について実感されるとの声も多数聞かれ</w:t>
      </w:r>
      <w:r w:rsidR="005D4F80">
        <w:rPr>
          <w:rFonts w:hint="eastAsia"/>
          <w:sz w:val="20"/>
          <w:szCs w:val="20"/>
        </w:rPr>
        <w:t>ます</w:t>
      </w:r>
      <w:r>
        <w:rPr>
          <w:rFonts w:hint="eastAsia"/>
          <w:sz w:val="20"/>
          <w:szCs w:val="20"/>
        </w:rPr>
        <w:t>。このような状況を背景に、大量出血に対する対応には施設により大きな差がみられていることが予想され</w:t>
      </w:r>
      <w:r w:rsidR="005D4F80">
        <w:rPr>
          <w:rFonts w:hint="eastAsia"/>
          <w:sz w:val="20"/>
          <w:szCs w:val="20"/>
        </w:rPr>
        <w:t>ます</w:t>
      </w:r>
      <w:r w:rsidRPr="005D593A">
        <w:rPr>
          <w:rFonts w:hint="eastAsia"/>
          <w:sz w:val="20"/>
          <w:szCs w:val="20"/>
        </w:rPr>
        <w:t>。</w:t>
      </w:r>
    </w:p>
    <w:p w14:paraId="1DFEFA0A" w14:textId="56207A9A" w:rsidR="00FC0915" w:rsidRDefault="00FC0915" w:rsidP="00453E4C">
      <w:pPr>
        <w:ind w:firstLineChars="142" w:firstLine="284"/>
        <w:rPr>
          <w:sz w:val="20"/>
          <w:szCs w:val="20"/>
        </w:rPr>
      </w:pPr>
      <w:r>
        <w:rPr>
          <w:rFonts w:hint="eastAsia"/>
          <w:sz w:val="20"/>
          <w:szCs w:val="20"/>
        </w:rPr>
        <w:t>今回大学病院における大量出血に対する施設対応体制などに関する調査を行</w:t>
      </w:r>
      <w:r w:rsidR="005D4F80">
        <w:rPr>
          <w:rFonts w:hint="eastAsia"/>
          <w:sz w:val="20"/>
          <w:szCs w:val="20"/>
        </w:rPr>
        <w:t>こと</w:t>
      </w:r>
      <w:r>
        <w:rPr>
          <w:rFonts w:hint="eastAsia"/>
          <w:sz w:val="20"/>
          <w:szCs w:val="20"/>
        </w:rPr>
        <w:t>により情報の共有がなされるとともに、国内での大量出血症例に対する対応での問題点</w:t>
      </w:r>
      <w:r>
        <w:rPr>
          <w:sz w:val="20"/>
          <w:szCs w:val="20"/>
        </w:rPr>
        <w:t xml:space="preserve"> (</w:t>
      </w:r>
      <w:r>
        <w:rPr>
          <w:rFonts w:hint="eastAsia"/>
          <w:sz w:val="20"/>
          <w:szCs w:val="20"/>
        </w:rPr>
        <w:t>輸血管理料における適正使用加算、フィブリノゲンの効果的な補充手段がないこと、</w:t>
      </w:r>
      <w:r>
        <w:rPr>
          <w:sz w:val="20"/>
          <w:szCs w:val="20"/>
        </w:rPr>
        <w:t>FFP</w:t>
      </w:r>
      <w:r>
        <w:rPr>
          <w:rFonts w:hint="eastAsia"/>
          <w:sz w:val="20"/>
          <w:szCs w:val="20"/>
        </w:rPr>
        <w:t>の液状保存の必要性</w:t>
      </w:r>
      <w:r>
        <w:rPr>
          <w:sz w:val="20"/>
          <w:szCs w:val="20"/>
        </w:rPr>
        <w:t xml:space="preserve">) </w:t>
      </w:r>
      <w:r>
        <w:rPr>
          <w:rFonts w:hint="eastAsia"/>
          <w:sz w:val="20"/>
          <w:szCs w:val="20"/>
        </w:rPr>
        <w:t>が示される可能性がある</w:t>
      </w:r>
      <w:r w:rsidR="005D4F80">
        <w:rPr>
          <w:rFonts w:hint="eastAsia"/>
          <w:sz w:val="20"/>
          <w:szCs w:val="20"/>
        </w:rPr>
        <w:t>と考えられます</w:t>
      </w:r>
      <w:r>
        <w:rPr>
          <w:rFonts w:hint="eastAsia"/>
          <w:sz w:val="20"/>
          <w:szCs w:val="20"/>
        </w:rPr>
        <w:t>。</w:t>
      </w:r>
    </w:p>
    <w:p w14:paraId="604FE9A6" w14:textId="04338750" w:rsidR="00FC0915" w:rsidRDefault="00FC0915" w:rsidP="005D4F80">
      <w:pPr>
        <w:ind w:firstLineChars="142" w:firstLine="284"/>
        <w:rPr>
          <w:sz w:val="20"/>
          <w:szCs w:val="20"/>
        </w:rPr>
      </w:pPr>
      <w:r>
        <w:rPr>
          <w:rFonts w:hint="eastAsia"/>
          <w:sz w:val="20"/>
          <w:szCs w:val="20"/>
        </w:rPr>
        <w:t>なお、本調査とは別に現在日本輸血細胞治療学会より「大量出血プロトコルに関する実態調査</w:t>
      </w:r>
      <w:r>
        <w:rPr>
          <w:sz w:val="20"/>
          <w:szCs w:val="20"/>
        </w:rPr>
        <w:t xml:space="preserve"> (</w:t>
      </w:r>
      <w:r>
        <w:rPr>
          <w:rFonts w:hint="eastAsia"/>
          <w:sz w:val="20"/>
          <w:szCs w:val="20"/>
        </w:rPr>
        <w:t>研究責任者、日本医科大学千葉北総病院　斎藤伸行</w:t>
      </w:r>
      <w:r>
        <w:rPr>
          <w:rFonts w:hint="eastAsia"/>
          <w:sz w:val="20"/>
          <w:szCs w:val="20"/>
        </w:rPr>
        <w:t>)</w:t>
      </w:r>
      <w:r w:rsidR="00BC17BE">
        <w:rPr>
          <w:rFonts w:hint="eastAsia"/>
          <w:sz w:val="20"/>
          <w:szCs w:val="20"/>
        </w:rPr>
        <w:t>」</w:t>
      </w:r>
      <w:r>
        <w:rPr>
          <w:sz w:val="20"/>
          <w:szCs w:val="20"/>
        </w:rPr>
        <w:t xml:space="preserve"> </w:t>
      </w:r>
      <w:r>
        <w:rPr>
          <w:rFonts w:hint="eastAsia"/>
          <w:sz w:val="20"/>
          <w:szCs w:val="20"/>
        </w:rPr>
        <w:t>が行なわれてい</w:t>
      </w:r>
      <w:r w:rsidR="005D4F80">
        <w:rPr>
          <w:rFonts w:hint="eastAsia"/>
          <w:sz w:val="20"/>
          <w:szCs w:val="20"/>
        </w:rPr>
        <w:t>ます</w:t>
      </w:r>
      <w:r>
        <w:rPr>
          <w:sz w:val="20"/>
          <w:szCs w:val="20"/>
        </w:rPr>
        <w:t xml:space="preserve"> (</w:t>
      </w:r>
      <w:r>
        <w:rPr>
          <w:rFonts w:hint="eastAsia"/>
          <w:sz w:val="20"/>
          <w:szCs w:val="20"/>
        </w:rPr>
        <w:t>研究実施期間</w:t>
      </w:r>
      <w:r>
        <w:rPr>
          <w:sz w:val="20"/>
          <w:szCs w:val="20"/>
        </w:rPr>
        <w:t xml:space="preserve"> 2016</w:t>
      </w:r>
      <w:r>
        <w:rPr>
          <w:rFonts w:hint="eastAsia"/>
          <w:sz w:val="20"/>
          <w:szCs w:val="20"/>
        </w:rPr>
        <w:t>年</w:t>
      </w:r>
      <w:r>
        <w:rPr>
          <w:rFonts w:hint="eastAsia"/>
          <w:sz w:val="20"/>
          <w:szCs w:val="20"/>
        </w:rPr>
        <w:t>10</w:t>
      </w:r>
      <w:r>
        <w:rPr>
          <w:rFonts w:hint="eastAsia"/>
          <w:sz w:val="20"/>
          <w:szCs w:val="20"/>
        </w:rPr>
        <w:t>月</w:t>
      </w:r>
      <w:r>
        <w:rPr>
          <w:sz w:val="20"/>
          <w:szCs w:val="20"/>
        </w:rPr>
        <w:t>1</w:t>
      </w:r>
      <w:r>
        <w:rPr>
          <w:rFonts w:hint="eastAsia"/>
          <w:sz w:val="20"/>
          <w:szCs w:val="20"/>
        </w:rPr>
        <w:t>日〜</w:t>
      </w:r>
      <w:r>
        <w:rPr>
          <w:sz w:val="20"/>
          <w:szCs w:val="20"/>
        </w:rPr>
        <w:t>2017</w:t>
      </w:r>
      <w:r>
        <w:rPr>
          <w:rFonts w:hint="eastAsia"/>
          <w:sz w:val="20"/>
          <w:szCs w:val="20"/>
        </w:rPr>
        <w:t>年</w:t>
      </w:r>
      <w:r>
        <w:rPr>
          <w:rFonts w:hint="eastAsia"/>
          <w:sz w:val="20"/>
          <w:szCs w:val="20"/>
        </w:rPr>
        <w:t>3</w:t>
      </w:r>
      <w:r>
        <w:rPr>
          <w:rFonts w:hint="eastAsia"/>
          <w:sz w:val="20"/>
          <w:szCs w:val="20"/>
        </w:rPr>
        <w:t>月</w:t>
      </w:r>
      <w:r>
        <w:rPr>
          <w:rFonts w:hint="eastAsia"/>
          <w:sz w:val="20"/>
          <w:szCs w:val="20"/>
        </w:rPr>
        <w:t>31</w:t>
      </w:r>
      <w:r>
        <w:rPr>
          <w:rFonts w:hint="eastAsia"/>
          <w:sz w:val="20"/>
          <w:szCs w:val="20"/>
        </w:rPr>
        <w:t>日</w:t>
      </w:r>
      <w:r>
        <w:rPr>
          <w:sz w:val="20"/>
          <w:szCs w:val="20"/>
        </w:rPr>
        <w:t>)</w:t>
      </w:r>
      <w:r>
        <w:rPr>
          <w:rFonts w:hint="eastAsia"/>
          <w:sz w:val="20"/>
          <w:szCs w:val="20"/>
        </w:rPr>
        <w:t>。本調査は内容が一部重複</w:t>
      </w:r>
      <w:r w:rsidR="00C0151C">
        <w:rPr>
          <w:rFonts w:hint="eastAsia"/>
          <w:sz w:val="20"/>
          <w:szCs w:val="20"/>
        </w:rPr>
        <w:t>します</w:t>
      </w:r>
      <w:r w:rsidR="00195145">
        <w:rPr>
          <w:rFonts w:hint="eastAsia"/>
          <w:sz w:val="20"/>
          <w:szCs w:val="20"/>
        </w:rPr>
        <w:t>が</w:t>
      </w:r>
      <w:r>
        <w:rPr>
          <w:rFonts w:hint="eastAsia"/>
          <w:sz w:val="20"/>
          <w:szCs w:val="20"/>
        </w:rPr>
        <w:t>、特に大学病院輸血部の視点よりの実態と実際の実施上の問題点を抽出したいと考えてい</w:t>
      </w:r>
      <w:r w:rsidR="005D4F80">
        <w:rPr>
          <w:rFonts w:hint="eastAsia"/>
          <w:sz w:val="20"/>
          <w:szCs w:val="20"/>
        </w:rPr>
        <w:t>ます</w:t>
      </w:r>
      <w:r>
        <w:rPr>
          <w:rFonts w:hint="eastAsia"/>
          <w:sz w:val="20"/>
          <w:szCs w:val="20"/>
        </w:rPr>
        <w:t>。</w:t>
      </w:r>
    </w:p>
    <w:p w14:paraId="7D93F9E6" w14:textId="77777777" w:rsidR="005D4F80" w:rsidRDefault="005D4F80" w:rsidP="005D4F80">
      <w:pPr>
        <w:ind w:firstLineChars="142" w:firstLine="284"/>
        <w:rPr>
          <w:sz w:val="20"/>
          <w:szCs w:val="20"/>
        </w:rPr>
      </w:pPr>
    </w:p>
    <w:p w14:paraId="1218FC83" w14:textId="75F013A9" w:rsidR="00914357" w:rsidRDefault="00914357" w:rsidP="00914357">
      <w:pPr>
        <w:jc w:val="right"/>
        <w:rPr>
          <w:sz w:val="20"/>
          <w:szCs w:val="20"/>
        </w:rPr>
      </w:pPr>
      <w:r>
        <w:rPr>
          <w:rFonts w:hint="eastAsia"/>
          <w:sz w:val="20"/>
          <w:szCs w:val="20"/>
        </w:rPr>
        <w:t xml:space="preserve">　大分大学医学部附属病院輸血部　緒方正男</w:t>
      </w:r>
    </w:p>
    <w:p w14:paraId="74C36356" w14:textId="77777777" w:rsidR="00FC0915" w:rsidRDefault="00FC0915">
      <w:pPr>
        <w:widowControl/>
        <w:jc w:val="left"/>
        <w:rPr>
          <w:sz w:val="20"/>
          <w:szCs w:val="20"/>
        </w:rPr>
      </w:pPr>
      <w:r>
        <w:rPr>
          <w:sz w:val="20"/>
          <w:szCs w:val="20"/>
        </w:rPr>
        <w:br w:type="page"/>
      </w:r>
    </w:p>
    <w:p w14:paraId="06C6D8E0" w14:textId="77777777" w:rsidR="00FC0915" w:rsidRPr="005D593A" w:rsidRDefault="00FC0915" w:rsidP="00453E4C">
      <w:pPr>
        <w:rPr>
          <w:sz w:val="20"/>
          <w:szCs w:val="20"/>
        </w:rPr>
      </w:pPr>
      <w:r>
        <w:rPr>
          <w:sz w:val="20"/>
          <w:szCs w:val="20"/>
        </w:rPr>
        <w:lastRenderedPageBreak/>
        <w:t xml:space="preserve">Table. </w:t>
      </w:r>
      <w:r>
        <w:rPr>
          <w:rFonts w:hint="eastAsia"/>
          <w:sz w:val="20"/>
          <w:szCs w:val="20"/>
        </w:rPr>
        <w:t>大量出血症例に対する輸血療法に関わる知見</w:t>
      </w:r>
    </w:p>
    <w:tbl>
      <w:tblPr>
        <w:tblStyle w:val="a3"/>
        <w:tblW w:w="9180" w:type="dxa"/>
        <w:tblLayout w:type="fixed"/>
        <w:tblLook w:val="04A0" w:firstRow="1" w:lastRow="0" w:firstColumn="1" w:lastColumn="0" w:noHBand="0" w:noVBand="1"/>
      </w:tblPr>
      <w:tblGrid>
        <w:gridCol w:w="1384"/>
        <w:gridCol w:w="3402"/>
        <w:gridCol w:w="4394"/>
      </w:tblGrid>
      <w:tr w:rsidR="00AA6E8A" w:rsidRPr="005D593A" w14:paraId="5D37796C" w14:textId="77777777" w:rsidTr="00AA6E8A">
        <w:tc>
          <w:tcPr>
            <w:tcW w:w="1384" w:type="dxa"/>
          </w:tcPr>
          <w:p w14:paraId="157ABBF4" w14:textId="77777777" w:rsidR="00FC0915" w:rsidRPr="00FC0915" w:rsidRDefault="00FC0915" w:rsidP="00740CD3">
            <w:pPr>
              <w:jc w:val="left"/>
              <w:rPr>
                <w:rFonts w:ascii="メイリオ" w:eastAsia="メイリオ"/>
                <w:sz w:val="18"/>
                <w:szCs w:val="18"/>
              </w:rPr>
            </w:pPr>
          </w:p>
        </w:tc>
        <w:tc>
          <w:tcPr>
            <w:tcW w:w="3402" w:type="dxa"/>
          </w:tcPr>
          <w:p w14:paraId="20894A6C" w14:textId="77777777" w:rsidR="00FC0915" w:rsidRPr="00FC0915" w:rsidRDefault="00FC0915" w:rsidP="00740CD3">
            <w:pPr>
              <w:jc w:val="left"/>
              <w:rPr>
                <w:rFonts w:ascii="メイリオ" w:eastAsia="メイリオ"/>
                <w:sz w:val="18"/>
                <w:szCs w:val="18"/>
              </w:rPr>
            </w:pPr>
            <w:r w:rsidRPr="00FC0915">
              <w:rPr>
                <w:rFonts w:ascii="メイリオ" w:eastAsia="メイリオ" w:hint="eastAsia"/>
                <w:sz w:val="18"/>
                <w:szCs w:val="18"/>
              </w:rPr>
              <w:t>使用促進に関連</w:t>
            </w:r>
          </w:p>
        </w:tc>
        <w:tc>
          <w:tcPr>
            <w:tcW w:w="4394" w:type="dxa"/>
          </w:tcPr>
          <w:p w14:paraId="4DF8CF59" w14:textId="77777777" w:rsidR="00FC0915" w:rsidRPr="00FC0915" w:rsidRDefault="00FC0915" w:rsidP="00740CD3">
            <w:pPr>
              <w:jc w:val="left"/>
              <w:rPr>
                <w:rFonts w:ascii="メイリオ" w:eastAsia="メイリオ"/>
                <w:sz w:val="18"/>
                <w:szCs w:val="18"/>
              </w:rPr>
            </w:pPr>
            <w:r w:rsidRPr="00FC0915">
              <w:rPr>
                <w:rFonts w:ascii="メイリオ" w:eastAsia="メイリオ" w:hint="eastAsia"/>
                <w:sz w:val="18"/>
                <w:szCs w:val="18"/>
              </w:rPr>
              <w:t>使用抑制に関連</w:t>
            </w:r>
          </w:p>
        </w:tc>
      </w:tr>
      <w:tr w:rsidR="00AA6E8A" w:rsidRPr="005D593A" w14:paraId="5B9FDD0D" w14:textId="77777777" w:rsidTr="00AA6E8A">
        <w:tc>
          <w:tcPr>
            <w:tcW w:w="1384" w:type="dxa"/>
          </w:tcPr>
          <w:p w14:paraId="343A1A3F" w14:textId="77777777" w:rsidR="00FC0915" w:rsidRPr="00FC0915" w:rsidRDefault="00FC0915" w:rsidP="00740CD3">
            <w:pPr>
              <w:jc w:val="left"/>
              <w:rPr>
                <w:rFonts w:ascii="メイリオ" w:eastAsia="メイリオ"/>
                <w:sz w:val="18"/>
                <w:szCs w:val="18"/>
              </w:rPr>
            </w:pPr>
            <w:r w:rsidRPr="00FC0915">
              <w:rPr>
                <w:rFonts w:ascii="メイリオ" w:eastAsia="メイリオ" w:hint="eastAsia"/>
                <w:sz w:val="18"/>
                <w:szCs w:val="18"/>
              </w:rPr>
              <w:t>FFP</w:t>
            </w:r>
          </w:p>
        </w:tc>
        <w:tc>
          <w:tcPr>
            <w:tcW w:w="3402" w:type="dxa"/>
          </w:tcPr>
          <w:p w14:paraId="340DBFF3"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 xml:space="preserve">予後改善につながるとの多数のretrospective study </w:t>
            </w:r>
            <w:r w:rsidRPr="00FC0915">
              <w:rPr>
                <w:rFonts w:ascii="メイリオ" w:eastAsia="メイリオ" w:hint="eastAsia"/>
                <w:noProof/>
                <w:sz w:val="18"/>
                <w:szCs w:val="18"/>
                <w:vertAlign w:val="superscript"/>
              </w:rPr>
              <w:t>1-5</w:t>
            </w:r>
          </w:p>
          <w:p w14:paraId="0E8997AF"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欧州のガイドライン</w:t>
            </w:r>
            <w:r w:rsidRPr="00FC0915">
              <w:rPr>
                <w:rFonts w:ascii="メイリオ" w:eastAsia="メイリオ" w:hint="eastAsia"/>
                <w:noProof/>
                <w:sz w:val="18"/>
                <w:szCs w:val="18"/>
                <w:vertAlign w:val="superscript"/>
              </w:rPr>
              <w:t>6</w:t>
            </w:r>
            <w:r w:rsidRPr="00FC0915">
              <w:rPr>
                <w:rFonts w:ascii="メイリオ" w:eastAsia="メイリオ" w:hint="eastAsia"/>
                <w:sz w:val="18"/>
                <w:szCs w:val="18"/>
              </w:rPr>
              <w:t>や多くのMTPで少なくとも1:2でFFPを使用すべきとされている</w:t>
            </w:r>
          </w:p>
        </w:tc>
        <w:tc>
          <w:tcPr>
            <w:tcW w:w="4394" w:type="dxa"/>
          </w:tcPr>
          <w:p w14:paraId="4F8CD636" w14:textId="77777777" w:rsid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血液製剤の使用指針 (出血量が循環血液量100%を越えて使用)</w:t>
            </w:r>
          </w:p>
          <w:p w14:paraId="4A21A565" w14:textId="07D2E657" w:rsidR="001F672C" w:rsidRPr="00FC0915" w:rsidRDefault="001F672C"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国内の補充の適応はFg &lt;100 mg/dL</w:t>
            </w:r>
          </w:p>
          <w:p w14:paraId="6902B3F3"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輸血管理料適正使用加算</w:t>
            </w:r>
          </w:p>
          <w:p w14:paraId="27BE656B"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FFPの早期よりの使用が予後改善を示すとのRCTが少なく、唯一のRCTは1:1:2に対する1:1:1 の有効性を示していない</w:t>
            </w:r>
            <w:r w:rsidRPr="00FC0915">
              <w:rPr>
                <w:rFonts w:ascii="メイリオ" w:eastAsia="メイリオ" w:hint="eastAsia"/>
                <w:noProof/>
                <w:sz w:val="18"/>
                <w:szCs w:val="18"/>
                <w:vertAlign w:val="superscript"/>
              </w:rPr>
              <w:t>7</w:t>
            </w:r>
            <w:r w:rsidRPr="00FC0915">
              <w:rPr>
                <w:rFonts w:ascii="メイリオ" w:eastAsia="メイリオ" w:hint="eastAsia"/>
                <w:sz w:val="18"/>
                <w:szCs w:val="18"/>
              </w:rPr>
              <w:t>。</w:t>
            </w:r>
          </w:p>
          <w:p w14:paraId="4E45822D"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AABBガイドラインはFFPの積極的な使用について判断を保留</w:t>
            </w:r>
            <w:r w:rsidRPr="00FC0915">
              <w:rPr>
                <w:rFonts w:ascii="メイリオ" w:eastAsia="メイリオ" w:hint="eastAsia"/>
                <w:noProof/>
                <w:sz w:val="18"/>
                <w:szCs w:val="18"/>
                <w:vertAlign w:val="superscript"/>
              </w:rPr>
              <w:t>8</w:t>
            </w:r>
          </w:p>
        </w:tc>
      </w:tr>
      <w:tr w:rsidR="00AA6E8A" w:rsidRPr="005D593A" w14:paraId="71611A70" w14:textId="77777777" w:rsidTr="00AA6E8A">
        <w:tc>
          <w:tcPr>
            <w:tcW w:w="1384" w:type="dxa"/>
          </w:tcPr>
          <w:p w14:paraId="1EF01A5C" w14:textId="77777777" w:rsidR="00FC0915" w:rsidRPr="00FC0915" w:rsidRDefault="00FC0915" w:rsidP="00740CD3">
            <w:pPr>
              <w:jc w:val="left"/>
              <w:rPr>
                <w:rFonts w:ascii="メイリオ" w:eastAsia="メイリオ"/>
                <w:sz w:val="18"/>
                <w:szCs w:val="18"/>
              </w:rPr>
            </w:pPr>
            <w:r w:rsidRPr="00FC0915">
              <w:rPr>
                <w:rFonts w:ascii="メイリオ" w:eastAsia="メイリオ" w:hint="eastAsia"/>
                <w:sz w:val="18"/>
                <w:szCs w:val="18"/>
              </w:rPr>
              <w:t>高濃度のフィブリノゲン製剤</w:t>
            </w:r>
          </w:p>
          <w:p w14:paraId="7C2FFEB4" w14:textId="77777777" w:rsidR="00FC0915" w:rsidRPr="00FC0915" w:rsidRDefault="00FC0915" w:rsidP="00740CD3">
            <w:pPr>
              <w:jc w:val="left"/>
              <w:rPr>
                <w:rFonts w:ascii="メイリオ" w:eastAsia="メイリオ"/>
                <w:sz w:val="18"/>
                <w:szCs w:val="18"/>
              </w:rPr>
            </w:pPr>
            <w:r w:rsidRPr="00FC0915">
              <w:rPr>
                <w:rFonts w:ascii="メイリオ" w:eastAsia="メイリオ" w:hint="eastAsia"/>
                <w:sz w:val="18"/>
                <w:szCs w:val="18"/>
              </w:rPr>
              <w:t>(クリオ、フィブリノゲン濃縮製剤)</w:t>
            </w:r>
          </w:p>
        </w:tc>
        <w:tc>
          <w:tcPr>
            <w:tcW w:w="3402" w:type="dxa"/>
          </w:tcPr>
          <w:p w14:paraId="584B43F0"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早期のフィブリノゲン値の改善に著効</w:t>
            </w:r>
          </w:p>
          <w:p w14:paraId="5A7A3477"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理論的に必要</w:t>
            </w:r>
          </w:p>
          <w:p w14:paraId="1D3B90C0"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欧州ガイドラインでは出血が持続する症例ではフィブリノゲン 150-200 mg/dLを保つように濃縮製剤を使用することが推奨</w:t>
            </w:r>
            <w:r w:rsidRPr="00FC0915">
              <w:rPr>
                <w:rFonts w:ascii="メイリオ" w:eastAsia="メイリオ" w:hint="eastAsia"/>
                <w:noProof/>
                <w:sz w:val="18"/>
                <w:szCs w:val="18"/>
                <w:vertAlign w:val="superscript"/>
              </w:rPr>
              <w:t>6</w:t>
            </w:r>
          </w:p>
        </w:tc>
        <w:tc>
          <w:tcPr>
            <w:tcW w:w="4394" w:type="dxa"/>
          </w:tcPr>
          <w:p w14:paraId="75E6981E" w14:textId="728EC51E" w:rsidR="001F672C" w:rsidRPr="00FC0915" w:rsidRDefault="005D4F80" w:rsidP="001F672C">
            <w:pPr>
              <w:pStyle w:val="a4"/>
              <w:numPr>
                <w:ilvl w:val="0"/>
                <w:numId w:val="1"/>
              </w:numPr>
              <w:ind w:leftChars="0"/>
              <w:jc w:val="left"/>
              <w:rPr>
                <w:rFonts w:ascii="メイリオ" w:eastAsia="メイリオ"/>
                <w:sz w:val="18"/>
                <w:szCs w:val="18"/>
              </w:rPr>
            </w:pPr>
            <w:r>
              <w:rPr>
                <w:rFonts w:ascii="メイリオ" w:eastAsia="メイリオ" w:hint="eastAsia"/>
                <w:sz w:val="18"/>
                <w:szCs w:val="18"/>
              </w:rPr>
              <w:t>大量出血で使用が承認されている</w:t>
            </w:r>
            <w:r w:rsidR="001F672C" w:rsidRPr="00FC0915">
              <w:rPr>
                <w:rFonts w:ascii="メイリオ" w:eastAsia="メイリオ" w:hint="eastAsia"/>
                <w:sz w:val="18"/>
                <w:szCs w:val="18"/>
              </w:rPr>
              <w:t>濃縮製剤が存在しない</w:t>
            </w:r>
          </w:p>
          <w:p w14:paraId="2A66B60E" w14:textId="6A2D144B" w:rsidR="001F672C" w:rsidRPr="00FC0915" w:rsidRDefault="001F672C" w:rsidP="001F672C">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効果的な投与のためにはクリオの院内調整か、濃縮フィブリノゲン製剤の適応外使用</w:t>
            </w:r>
            <w:r w:rsidR="005D4F80">
              <w:rPr>
                <w:rFonts w:ascii="メイリオ" w:eastAsia="メイリオ" w:hint="eastAsia"/>
                <w:sz w:val="18"/>
                <w:szCs w:val="18"/>
              </w:rPr>
              <w:t>となる</w:t>
            </w:r>
          </w:p>
          <w:p w14:paraId="7CF2E383" w14:textId="21893F55" w:rsidR="001F672C" w:rsidRDefault="001F672C" w:rsidP="001F672C">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クリオの使用はFFPの使用量増加 (適正使用加算に関連) と廃棄の増加につながる</w:t>
            </w:r>
          </w:p>
          <w:p w14:paraId="43E98A07" w14:textId="68946F93" w:rsidR="00914357" w:rsidRPr="001F672C" w:rsidRDefault="001F672C" w:rsidP="001F672C">
            <w:pPr>
              <w:pStyle w:val="a4"/>
              <w:numPr>
                <w:ilvl w:val="0"/>
                <w:numId w:val="1"/>
              </w:numPr>
              <w:ind w:leftChars="0"/>
              <w:jc w:val="left"/>
              <w:rPr>
                <w:rFonts w:ascii="メイリオ" w:eastAsia="メイリオ"/>
                <w:sz w:val="18"/>
                <w:szCs w:val="18"/>
              </w:rPr>
            </w:pPr>
            <w:r w:rsidRPr="001F672C">
              <w:rPr>
                <w:rFonts w:ascii="メイリオ" w:eastAsia="メイリオ" w:hint="eastAsia"/>
                <w:sz w:val="18"/>
                <w:szCs w:val="18"/>
              </w:rPr>
              <w:t>ハイリスク心臓手術においてフィブリノゲン濃縮製剤を投与しても術中出血量は減少しなかったとの</w:t>
            </w:r>
            <w:r w:rsidRPr="001F672C">
              <w:rPr>
                <w:rFonts w:ascii="メイリオ" w:eastAsia="メイリオ"/>
                <w:sz w:val="18"/>
                <w:szCs w:val="18"/>
              </w:rPr>
              <w:t>RCT</w:t>
            </w:r>
            <w:r w:rsidRPr="001F672C">
              <w:rPr>
                <w:rFonts w:ascii="メイリオ" w:eastAsia="メイリオ"/>
                <w:sz w:val="18"/>
                <w:szCs w:val="18"/>
                <w:vertAlign w:val="superscript"/>
              </w:rPr>
              <w:t>9</w:t>
            </w:r>
          </w:p>
        </w:tc>
      </w:tr>
      <w:tr w:rsidR="00AA6E8A" w:rsidRPr="005D593A" w14:paraId="568BBC34" w14:textId="77777777" w:rsidTr="00AA6E8A">
        <w:tc>
          <w:tcPr>
            <w:tcW w:w="1384" w:type="dxa"/>
          </w:tcPr>
          <w:p w14:paraId="35402A1B" w14:textId="77777777" w:rsidR="00FC0915" w:rsidRPr="00FC0915" w:rsidRDefault="00FC0915" w:rsidP="00740CD3">
            <w:pPr>
              <w:jc w:val="left"/>
              <w:rPr>
                <w:rFonts w:ascii="メイリオ" w:eastAsia="メイリオ"/>
                <w:sz w:val="18"/>
                <w:szCs w:val="18"/>
              </w:rPr>
            </w:pPr>
            <w:r w:rsidRPr="00FC0915">
              <w:rPr>
                <w:rFonts w:ascii="メイリオ" w:eastAsia="メイリオ" w:hint="eastAsia"/>
                <w:sz w:val="18"/>
                <w:szCs w:val="18"/>
              </w:rPr>
              <w:t>血小板</w:t>
            </w:r>
          </w:p>
        </w:tc>
        <w:tc>
          <w:tcPr>
            <w:tcW w:w="3402" w:type="dxa"/>
          </w:tcPr>
          <w:p w14:paraId="799C2B8A" w14:textId="4326599A" w:rsidR="00FC0915" w:rsidRPr="00FC0915" w:rsidRDefault="00FC0915" w:rsidP="00D10ED6">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早期よりの使用が予後改善につながる</w:t>
            </w:r>
            <w:r w:rsidR="00D10ED6">
              <w:rPr>
                <w:rFonts w:ascii="メイリオ" w:eastAsia="メイリオ" w:hint="eastAsia"/>
                <w:sz w:val="18"/>
                <w:szCs w:val="18"/>
              </w:rPr>
              <w:t>とした</w:t>
            </w:r>
            <w:r w:rsidRPr="00FC0915">
              <w:rPr>
                <w:rFonts w:ascii="メイリオ" w:eastAsia="メイリオ" w:hint="eastAsia"/>
                <w:sz w:val="18"/>
                <w:szCs w:val="18"/>
              </w:rPr>
              <w:t xml:space="preserve">retrospective study </w:t>
            </w:r>
            <w:r w:rsidRPr="00FC0915">
              <w:rPr>
                <w:rFonts w:ascii="メイリオ" w:eastAsia="メイリオ" w:hint="eastAsia"/>
                <w:noProof/>
                <w:sz w:val="18"/>
                <w:szCs w:val="18"/>
                <w:vertAlign w:val="superscript"/>
              </w:rPr>
              <w:t>2</w:t>
            </w:r>
          </w:p>
        </w:tc>
        <w:tc>
          <w:tcPr>
            <w:tcW w:w="4394" w:type="dxa"/>
          </w:tcPr>
          <w:p w14:paraId="773F5640"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血液製剤の使用指針 (PLTは出血量が循環血液量150%を越えて使用)</w:t>
            </w:r>
          </w:p>
          <w:p w14:paraId="53DCBEAC" w14:textId="1DE97C75" w:rsidR="00FC0915" w:rsidRPr="00FC0915" w:rsidRDefault="00FC0915" w:rsidP="00D10ED6">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早期よりの使用が予後改善につながる</w:t>
            </w:r>
            <w:r w:rsidR="00D10ED6">
              <w:rPr>
                <w:rFonts w:ascii="メイリオ" w:eastAsia="メイリオ" w:hint="eastAsia"/>
                <w:sz w:val="18"/>
                <w:szCs w:val="18"/>
              </w:rPr>
              <w:t>ことを示した</w:t>
            </w:r>
            <w:r w:rsidRPr="00FC0915">
              <w:rPr>
                <w:rFonts w:ascii="メイリオ" w:eastAsia="メイリオ" w:hint="eastAsia"/>
                <w:sz w:val="18"/>
                <w:szCs w:val="18"/>
              </w:rPr>
              <w:t>RCTがない</w:t>
            </w:r>
          </w:p>
        </w:tc>
      </w:tr>
      <w:tr w:rsidR="00AA6E8A" w:rsidRPr="005D593A" w14:paraId="5A058397" w14:textId="77777777" w:rsidTr="00AA6E8A">
        <w:tc>
          <w:tcPr>
            <w:tcW w:w="1384" w:type="dxa"/>
          </w:tcPr>
          <w:p w14:paraId="49BFEA10" w14:textId="77777777" w:rsidR="00FC0915" w:rsidRPr="00FC0915" w:rsidRDefault="00FC0915" w:rsidP="00740CD3">
            <w:pPr>
              <w:jc w:val="left"/>
              <w:rPr>
                <w:rFonts w:ascii="メイリオ" w:eastAsia="メイリオ"/>
                <w:sz w:val="18"/>
                <w:szCs w:val="18"/>
              </w:rPr>
            </w:pPr>
            <w:r w:rsidRPr="00FC0915">
              <w:rPr>
                <w:rFonts w:ascii="メイリオ" w:eastAsia="メイリオ" w:hint="eastAsia"/>
                <w:sz w:val="18"/>
                <w:szCs w:val="18"/>
              </w:rPr>
              <w:t>凝固VII因子製剤 (rFVIIa)</w:t>
            </w:r>
          </w:p>
        </w:tc>
        <w:tc>
          <w:tcPr>
            <w:tcW w:w="3402" w:type="dxa"/>
          </w:tcPr>
          <w:p w14:paraId="6283331D"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使用基準が記載されているMTPが存在https://www.blood.gov.au/pubs/pbm/module1/transfusion.html</w:t>
            </w:r>
          </w:p>
          <w:p w14:paraId="5E4CCE6D" w14:textId="4208D15B"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脳出血の血腫増大を抑制</w:t>
            </w:r>
            <w:r w:rsidR="005D4F80">
              <w:rPr>
                <w:rFonts w:ascii="メイリオ" w:eastAsia="メイリオ" w:hint="eastAsia"/>
                <w:noProof/>
                <w:sz w:val="18"/>
                <w:szCs w:val="18"/>
                <w:vertAlign w:val="superscript"/>
              </w:rPr>
              <w:t>10</w:t>
            </w:r>
          </w:p>
        </w:tc>
        <w:tc>
          <w:tcPr>
            <w:tcW w:w="4394" w:type="dxa"/>
          </w:tcPr>
          <w:p w14:paraId="43982535"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エビデンスは乏しい</w:t>
            </w:r>
          </w:p>
          <w:p w14:paraId="3ED83487"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適応外</w:t>
            </w:r>
          </w:p>
          <w:p w14:paraId="0763E375" w14:textId="77777777" w:rsidR="00FC0915" w:rsidRPr="00FC0915" w:rsidRDefault="00FC0915" w:rsidP="00740CD3">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極めて高価</w:t>
            </w:r>
          </w:p>
          <w:p w14:paraId="1E19ACC3" w14:textId="3CBCA4BD" w:rsidR="00FC0915" w:rsidRPr="00FC0915" w:rsidRDefault="00FC0915" w:rsidP="00914357">
            <w:pPr>
              <w:pStyle w:val="a4"/>
              <w:numPr>
                <w:ilvl w:val="0"/>
                <w:numId w:val="1"/>
              </w:numPr>
              <w:ind w:leftChars="0"/>
              <w:jc w:val="left"/>
              <w:rPr>
                <w:rFonts w:ascii="メイリオ" w:eastAsia="メイリオ"/>
                <w:sz w:val="18"/>
                <w:szCs w:val="18"/>
              </w:rPr>
            </w:pPr>
            <w:r w:rsidRPr="00FC0915">
              <w:rPr>
                <w:rFonts w:ascii="メイリオ" w:eastAsia="メイリオ" w:hint="eastAsia"/>
                <w:sz w:val="18"/>
                <w:szCs w:val="18"/>
              </w:rPr>
              <w:t>脳出血の生命予後を改善しない</w:t>
            </w:r>
            <w:r w:rsidR="00914357">
              <w:rPr>
                <w:rFonts w:ascii="メイリオ" w:eastAsia="メイリオ"/>
                <w:noProof/>
                <w:sz w:val="18"/>
                <w:szCs w:val="18"/>
                <w:vertAlign w:val="superscript"/>
              </w:rPr>
              <w:t>10</w:t>
            </w:r>
          </w:p>
        </w:tc>
      </w:tr>
    </w:tbl>
    <w:p w14:paraId="1AB24062" w14:textId="6C653DC0" w:rsidR="00AA6E8A" w:rsidRDefault="00AA6E8A" w:rsidP="00453E4C">
      <w:pPr>
        <w:widowControl/>
        <w:jc w:val="left"/>
        <w:rPr>
          <w:sz w:val="20"/>
          <w:szCs w:val="20"/>
        </w:rPr>
      </w:pPr>
    </w:p>
    <w:p w14:paraId="02FEE55E" w14:textId="77777777" w:rsidR="00AA6E8A" w:rsidRDefault="00AA6E8A">
      <w:pPr>
        <w:widowControl/>
        <w:jc w:val="left"/>
        <w:rPr>
          <w:sz w:val="20"/>
          <w:szCs w:val="20"/>
        </w:rPr>
      </w:pPr>
      <w:r>
        <w:rPr>
          <w:sz w:val="20"/>
          <w:szCs w:val="20"/>
        </w:rPr>
        <w:br w:type="page"/>
      </w:r>
    </w:p>
    <w:p w14:paraId="07B1E8F2" w14:textId="77777777" w:rsidR="00AA6E8A" w:rsidRPr="00873728" w:rsidRDefault="00AA6E8A" w:rsidP="00AA6E8A">
      <w:pPr>
        <w:pStyle w:val="EndNoteBibliographyTitle"/>
        <w:jc w:val="left"/>
        <w:rPr>
          <w:rFonts w:ascii="Times" w:hAnsi="Times"/>
          <w:noProof/>
        </w:rPr>
      </w:pPr>
      <w:r w:rsidRPr="00873728">
        <w:rPr>
          <w:rFonts w:ascii="Times" w:hAnsi="Times"/>
          <w:noProof/>
        </w:rPr>
        <w:t>References</w:t>
      </w:r>
    </w:p>
    <w:p w14:paraId="4F423C52" w14:textId="77777777" w:rsidR="00AA6E8A"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1.</w:t>
      </w:r>
      <w:r w:rsidRPr="00942CD7">
        <w:rPr>
          <w:rFonts w:ascii="Times" w:hAnsi="Times"/>
          <w:noProof/>
          <w:sz w:val="16"/>
          <w:szCs w:val="16"/>
        </w:rPr>
        <w:tab/>
        <w:t xml:space="preserve">Borgman MA, Spinella PC, Perkins JG, </w:t>
      </w:r>
      <w:r w:rsidRPr="00942CD7">
        <w:rPr>
          <w:rFonts w:ascii="Times" w:hAnsi="Times"/>
          <w:i/>
          <w:noProof/>
          <w:sz w:val="16"/>
          <w:szCs w:val="16"/>
        </w:rPr>
        <w:t>et al.</w:t>
      </w:r>
      <w:r w:rsidRPr="00942CD7">
        <w:rPr>
          <w:rFonts w:ascii="Times" w:hAnsi="Times"/>
          <w:noProof/>
          <w:sz w:val="16"/>
          <w:szCs w:val="16"/>
        </w:rPr>
        <w:t xml:space="preserve"> The ratio of blood products transfused affects mortality in patients receiving massive transfusions at a combat support hospital. </w:t>
      </w:r>
      <w:r w:rsidRPr="00942CD7">
        <w:rPr>
          <w:rFonts w:ascii="Times" w:hAnsi="Times"/>
          <w:i/>
          <w:noProof/>
          <w:sz w:val="16"/>
          <w:szCs w:val="16"/>
        </w:rPr>
        <w:t xml:space="preserve">J Trauma </w:t>
      </w:r>
      <w:r w:rsidRPr="00942CD7">
        <w:rPr>
          <w:rFonts w:ascii="Times" w:hAnsi="Times"/>
          <w:noProof/>
          <w:sz w:val="16"/>
          <w:szCs w:val="16"/>
        </w:rPr>
        <w:t xml:space="preserve">2007; </w:t>
      </w:r>
      <w:r w:rsidRPr="00942CD7">
        <w:rPr>
          <w:rFonts w:ascii="Times" w:hAnsi="Times"/>
          <w:b/>
          <w:noProof/>
          <w:sz w:val="16"/>
          <w:szCs w:val="16"/>
        </w:rPr>
        <w:t xml:space="preserve">63: </w:t>
      </w:r>
      <w:r w:rsidRPr="00942CD7">
        <w:rPr>
          <w:rFonts w:ascii="Times" w:hAnsi="Times"/>
          <w:noProof/>
          <w:sz w:val="16"/>
          <w:szCs w:val="16"/>
        </w:rPr>
        <w:t xml:space="preserve">805-813. </w:t>
      </w:r>
    </w:p>
    <w:p w14:paraId="3B10ED4C" w14:textId="77777777" w:rsidR="00AA6E8A" w:rsidRPr="00942CD7"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2.</w:t>
      </w:r>
      <w:r w:rsidRPr="00942CD7">
        <w:rPr>
          <w:rFonts w:ascii="Times" w:hAnsi="Times"/>
          <w:noProof/>
          <w:sz w:val="16"/>
          <w:szCs w:val="16"/>
        </w:rPr>
        <w:tab/>
        <w:t xml:space="preserve">Holcomb JB, Wade CE, Michalek JE, </w:t>
      </w:r>
      <w:r w:rsidRPr="00942CD7">
        <w:rPr>
          <w:rFonts w:ascii="Times" w:hAnsi="Times"/>
          <w:i/>
          <w:noProof/>
          <w:sz w:val="16"/>
          <w:szCs w:val="16"/>
        </w:rPr>
        <w:t>et al.</w:t>
      </w:r>
      <w:r w:rsidRPr="00942CD7">
        <w:rPr>
          <w:rFonts w:ascii="Times" w:hAnsi="Times"/>
          <w:noProof/>
          <w:sz w:val="16"/>
          <w:szCs w:val="16"/>
        </w:rPr>
        <w:t xml:space="preserve"> Increased plasma and platelet to red blood cell ratios improves outcome in 466 massively transfused civilian trauma patients. </w:t>
      </w:r>
      <w:r w:rsidRPr="00942CD7">
        <w:rPr>
          <w:rFonts w:ascii="Times" w:hAnsi="Times"/>
          <w:i/>
          <w:noProof/>
          <w:sz w:val="16"/>
          <w:szCs w:val="16"/>
        </w:rPr>
        <w:t xml:space="preserve">Ann Surg </w:t>
      </w:r>
      <w:r w:rsidRPr="00942CD7">
        <w:rPr>
          <w:rFonts w:ascii="Times" w:hAnsi="Times"/>
          <w:noProof/>
          <w:sz w:val="16"/>
          <w:szCs w:val="16"/>
        </w:rPr>
        <w:t xml:space="preserve">2008; </w:t>
      </w:r>
      <w:r w:rsidRPr="00942CD7">
        <w:rPr>
          <w:rFonts w:ascii="Times" w:hAnsi="Times"/>
          <w:b/>
          <w:noProof/>
          <w:sz w:val="16"/>
          <w:szCs w:val="16"/>
        </w:rPr>
        <w:t xml:space="preserve">248: </w:t>
      </w:r>
      <w:r w:rsidRPr="00942CD7">
        <w:rPr>
          <w:rFonts w:ascii="Times" w:hAnsi="Times"/>
          <w:noProof/>
          <w:sz w:val="16"/>
          <w:szCs w:val="16"/>
        </w:rPr>
        <w:t xml:space="preserve">447-458. </w:t>
      </w:r>
    </w:p>
    <w:p w14:paraId="136C4D29" w14:textId="77777777" w:rsidR="00AA6E8A" w:rsidRPr="00942CD7"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3.</w:t>
      </w:r>
      <w:r w:rsidRPr="00942CD7">
        <w:rPr>
          <w:rFonts w:ascii="Times" w:hAnsi="Times"/>
          <w:noProof/>
          <w:sz w:val="16"/>
          <w:szCs w:val="16"/>
        </w:rPr>
        <w:tab/>
        <w:t xml:space="preserve">Duchesne JC, Hunt JP, Wahl G, </w:t>
      </w:r>
      <w:r w:rsidRPr="00942CD7">
        <w:rPr>
          <w:rFonts w:ascii="Times" w:hAnsi="Times"/>
          <w:i/>
          <w:noProof/>
          <w:sz w:val="16"/>
          <w:szCs w:val="16"/>
        </w:rPr>
        <w:t>et al.</w:t>
      </w:r>
      <w:r w:rsidRPr="00942CD7">
        <w:rPr>
          <w:rFonts w:ascii="Times" w:hAnsi="Times"/>
          <w:noProof/>
          <w:sz w:val="16"/>
          <w:szCs w:val="16"/>
        </w:rPr>
        <w:t xml:space="preserve"> Review of current blood transfusions strategies in a mature level I trauma center: were we wrong for the last 60 years? </w:t>
      </w:r>
      <w:r w:rsidRPr="00942CD7">
        <w:rPr>
          <w:rFonts w:ascii="Times" w:hAnsi="Times"/>
          <w:i/>
          <w:noProof/>
          <w:sz w:val="16"/>
          <w:szCs w:val="16"/>
        </w:rPr>
        <w:t xml:space="preserve">J Trauma </w:t>
      </w:r>
      <w:r w:rsidRPr="00942CD7">
        <w:rPr>
          <w:rFonts w:ascii="Times" w:hAnsi="Times"/>
          <w:noProof/>
          <w:sz w:val="16"/>
          <w:szCs w:val="16"/>
        </w:rPr>
        <w:t xml:space="preserve">2008; </w:t>
      </w:r>
      <w:r w:rsidRPr="00942CD7">
        <w:rPr>
          <w:rFonts w:ascii="Times" w:hAnsi="Times"/>
          <w:b/>
          <w:noProof/>
          <w:sz w:val="16"/>
          <w:szCs w:val="16"/>
        </w:rPr>
        <w:t xml:space="preserve">65: </w:t>
      </w:r>
      <w:r w:rsidRPr="00942CD7">
        <w:rPr>
          <w:rFonts w:ascii="Times" w:hAnsi="Times"/>
          <w:noProof/>
          <w:sz w:val="16"/>
          <w:szCs w:val="16"/>
        </w:rPr>
        <w:t>272-276</w:t>
      </w:r>
      <w:r>
        <w:rPr>
          <w:rFonts w:ascii="Times" w:hAnsi="Times"/>
          <w:noProof/>
          <w:sz w:val="16"/>
          <w:szCs w:val="16"/>
        </w:rPr>
        <w:t>.</w:t>
      </w:r>
    </w:p>
    <w:p w14:paraId="3CD8DB7C" w14:textId="77777777" w:rsidR="00AA6E8A" w:rsidRPr="00942CD7"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4.</w:t>
      </w:r>
      <w:r w:rsidRPr="00942CD7">
        <w:rPr>
          <w:rFonts w:ascii="Times" w:hAnsi="Times"/>
          <w:noProof/>
          <w:sz w:val="16"/>
          <w:szCs w:val="16"/>
        </w:rPr>
        <w:tab/>
        <w:t xml:space="preserve">Zink KA, Sambasivan CN, Holcomb JB, Chisholm G, Schreiber MA. A high ratio of plasma and platelets to packed red blood cells in the first 6 hours of massive transfusion improves outcomes in a large multicenter study. </w:t>
      </w:r>
      <w:r w:rsidRPr="00942CD7">
        <w:rPr>
          <w:rFonts w:ascii="Times" w:hAnsi="Times"/>
          <w:i/>
          <w:noProof/>
          <w:sz w:val="16"/>
          <w:szCs w:val="16"/>
        </w:rPr>
        <w:t xml:space="preserve">Am J Surg </w:t>
      </w:r>
      <w:r w:rsidRPr="00942CD7">
        <w:rPr>
          <w:rFonts w:ascii="Times" w:hAnsi="Times"/>
          <w:noProof/>
          <w:sz w:val="16"/>
          <w:szCs w:val="16"/>
        </w:rPr>
        <w:t xml:space="preserve">2009; </w:t>
      </w:r>
      <w:r w:rsidRPr="00942CD7">
        <w:rPr>
          <w:rFonts w:ascii="Times" w:hAnsi="Times"/>
          <w:b/>
          <w:noProof/>
          <w:sz w:val="16"/>
          <w:szCs w:val="16"/>
        </w:rPr>
        <w:t xml:space="preserve">197: </w:t>
      </w:r>
      <w:r w:rsidRPr="00942CD7">
        <w:rPr>
          <w:rFonts w:ascii="Times" w:hAnsi="Times"/>
          <w:noProof/>
          <w:sz w:val="16"/>
          <w:szCs w:val="16"/>
        </w:rPr>
        <w:t>565-570</w:t>
      </w:r>
      <w:r>
        <w:rPr>
          <w:rFonts w:ascii="Times" w:hAnsi="Times"/>
          <w:noProof/>
          <w:sz w:val="16"/>
          <w:szCs w:val="16"/>
        </w:rPr>
        <w:t>.</w:t>
      </w:r>
    </w:p>
    <w:p w14:paraId="666909B9" w14:textId="77777777" w:rsidR="00AA6E8A" w:rsidRPr="00942CD7"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5.</w:t>
      </w:r>
      <w:r w:rsidRPr="00942CD7">
        <w:rPr>
          <w:rFonts w:ascii="Times" w:hAnsi="Times"/>
          <w:noProof/>
          <w:sz w:val="16"/>
          <w:szCs w:val="16"/>
        </w:rPr>
        <w:tab/>
        <w:t xml:space="preserve">Sperry JL, Ochoa JB, Gunn SR, </w:t>
      </w:r>
      <w:r w:rsidRPr="00942CD7">
        <w:rPr>
          <w:rFonts w:ascii="Times" w:hAnsi="Times"/>
          <w:i/>
          <w:noProof/>
          <w:sz w:val="16"/>
          <w:szCs w:val="16"/>
        </w:rPr>
        <w:t>et al.</w:t>
      </w:r>
      <w:r w:rsidRPr="00942CD7">
        <w:rPr>
          <w:rFonts w:ascii="Times" w:hAnsi="Times"/>
          <w:noProof/>
          <w:sz w:val="16"/>
          <w:szCs w:val="16"/>
        </w:rPr>
        <w:t xml:space="preserve"> An FFP:PRBC transfusion ratio &gt;/=1:1.5 is associated with a lower risk of mortality after massive transfusion. </w:t>
      </w:r>
      <w:r w:rsidRPr="00942CD7">
        <w:rPr>
          <w:rFonts w:ascii="Times" w:hAnsi="Times"/>
          <w:i/>
          <w:noProof/>
          <w:sz w:val="16"/>
          <w:szCs w:val="16"/>
        </w:rPr>
        <w:t xml:space="preserve">J Trauma </w:t>
      </w:r>
      <w:r w:rsidRPr="00942CD7">
        <w:rPr>
          <w:rFonts w:ascii="Times" w:hAnsi="Times"/>
          <w:noProof/>
          <w:sz w:val="16"/>
          <w:szCs w:val="16"/>
        </w:rPr>
        <w:t xml:space="preserve">2008; </w:t>
      </w:r>
      <w:r w:rsidRPr="00942CD7">
        <w:rPr>
          <w:rFonts w:ascii="Times" w:hAnsi="Times"/>
          <w:b/>
          <w:noProof/>
          <w:sz w:val="16"/>
          <w:szCs w:val="16"/>
        </w:rPr>
        <w:t xml:space="preserve">65: </w:t>
      </w:r>
      <w:r w:rsidRPr="00942CD7">
        <w:rPr>
          <w:rFonts w:ascii="Times" w:hAnsi="Times"/>
          <w:noProof/>
          <w:sz w:val="16"/>
          <w:szCs w:val="16"/>
        </w:rPr>
        <w:t xml:space="preserve">986-993. </w:t>
      </w:r>
    </w:p>
    <w:p w14:paraId="66A6EAB3" w14:textId="77777777" w:rsidR="00AA6E8A" w:rsidRPr="00942CD7"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6.</w:t>
      </w:r>
      <w:r w:rsidRPr="00942CD7">
        <w:rPr>
          <w:rFonts w:ascii="Times" w:hAnsi="Times"/>
          <w:noProof/>
          <w:sz w:val="16"/>
          <w:szCs w:val="16"/>
        </w:rPr>
        <w:tab/>
        <w:t xml:space="preserve">Rossaint R, Bouillon B, Cerny V, </w:t>
      </w:r>
      <w:r w:rsidRPr="00942CD7">
        <w:rPr>
          <w:rFonts w:ascii="Times" w:hAnsi="Times"/>
          <w:i/>
          <w:noProof/>
          <w:sz w:val="16"/>
          <w:szCs w:val="16"/>
        </w:rPr>
        <w:t>et al.</w:t>
      </w:r>
      <w:r w:rsidRPr="00942CD7">
        <w:rPr>
          <w:rFonts w:ascii="Times" w:hAnsi="Times"/>
          <w:noProof/>
          <w:sz w:val="16"/>
          <w:szCs w:val="16"/>
        </w:rPr>
        <w:t xml:space="preserve"> The European guideline on management of major bleeding and coagulopathy following trauma: fourth edition. </w:t>
      </w:r>
      <w:r w:rsidRPr="00942CD7">
        <w:rPr>
          <w:rFonts w:ascii="Times" w:hAnsi="Times"/>
          <w:i/>
          <w:noProof/>
          <w:sz w:val="16"/>
          <w:szCs w:val="16"/>
        </w:rPr>
        <w:t xml:space="preserve">Crit Care </w:t>
      </w:r>
      <w:r w:rsidRPr="00942CD7">
        <w:rPr>
          <w:rFonts w:ascii="Times" w:hAnsi="Times"/>
          <w:noProof/>
          <w:sz w:val="16"/>
          <w:szCs w:val="16"/>
        </w:rPr>
        <w:t xml:space="preserve">2016; </w:t>
      </w:r>
      <w:r w:rsidRPr="00942CD7">
        <w:rPr>
          <w:rFonts w:ascii="Times" w:hAnsi="Times"/>
          <w:b/>
          <w:noProof/>
          <w:sz w:val="16"/>
          <w:szCs w:val="16"/>
        </w:rPr>
        <w:t xml:space="preserve">20: </w:t>
      </w:r>
      <w:r w:rsidRPr="00942CD7">
        <w:rPr>
          <w:rFonts w:ascii="Times" w:hAnsi="Times"/>
          <w:noProof/>
          <w:sz w:val="16"/>
          <w:szCs w:val="16"/>
        </w:rPr>
        <w:t xml:space="preserve">100. </w:t>
      </w:r>
    </w:p>
    <w:p w14:paraId="2C86D5D5" w14:textId="77777777" w:rsidR="00AA6E8A" w:rsidRPr="00942CD7"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7.</w:t>
      </w:r>
      <w:r w:rsidRPr="00942CD7">
        <w:rPr>
          <w:rFonts w:ascii="Times" w:hAnsi="Times"/>
          <w:noProof/>
          <w:sz w:val="16"/>
          <w:szCs w:val="16"/>
        </w:rPr>
        <w:tab/>
        <w:t xml:space="preserve">Holcomb JB, Tilley BC, Baraniuk S, </w:t>
      </w:r>
      <w:r w:rsidRPr="00942CD7">
        <w:rPr>
          <w:rFonts w:ascii="Times" w:hAnsi="Times"/>
          <w:i/>
          <w:noProof/>
          <w:sz w:val="16"/>
          <w:szCs w:val="16"/>
        </w:rPr>
        <w:t>et al.</w:t>
      </w:r>
      <w:r w:rsidRPr="00942CD7">
        <w:rPr>
          <w:rFonts w:ascii="Times" w:hAnsi="Times"/>
          <w:noProof/>
          <w:sz w:val="16"/>
          <w:szCs w:val="16"/>
        </w:rPr>
        <w:t xml:space="preserve"> Transfusion of plasma, platelets, and red blood cells in a 1:1:1 vs a 1:1:2 ratio and mortality in patients with severe trauma: the PROPPR randomized clinical trial. </w:t>
      </w:r>
      <w:r w:rsidRPr="00942CD7">
        <w:rPr>
          <w:rFonts w:ascii="Times" w:hAnsi="Times"/>
          <w:i/>
          <w:noProof/>
          <w:sz w:val="16"/>
          <w:szCs w:val="16"/>
        </w:rPr>
        <w:t xml:space="preserve">JAMA </w:t>
      </w:r>
      <w:r w:rsidRPr="00942CD7">
        <w:rPr>
          <w:rFonts w:ascii="Times" w:hAnsi="Times"/>
          <w:noProof/>
          <w:sz w:val="16"/>
          <w:szCs w:val="16"/>
        </w:rPr>
        <w:t xml:space="preserve">2015; </w:t>
      </w:r>
      <w:r w:rsidRPr="00942CD7">
        <w:rPr>
          <w:rFonts w:ascii="Times" w:hAnsi="Times"/>
          <w:b/>
          <w:noProof/>
          <w:sz w:val="16"/>
          <w:szCs w:val="16"/>
        </w:rPr>
        <w:t xml:space="preserve">313: </w:t>
      </w:r>
      <w:r w:rsidRPr="00942CD7">
        <w:rPr>
          <w:rFonts w:ascii="Times" w:hAnsi="Times"/>
          <w:noProof/>
          <w:sz w:val="16"/>
          <w:szCs w:val="16"/>
        </w:rPr>
        <w:t xml:space="preserve">471-482. </w:t>
      </w:r>
    </w:p>
    <w:p w14:paraId="4BC60912" w14:textId="77777777" w:rsidR="00AA6E8A" w:rsidRDefault="00AA6E8A" w:rsidP="00AA6E8A">
      <w:pPr>
        <w:pStyle w:val="EndNoteBibliography"/>
        <w:ind w:left="720" w:hanging="720"/>
        <w:jc w:val="left"/>
        <w:rPr>
          <w:rFonts w:ascii="Times" w:hAnsi="Times"/>
          <w:noProof/>
          <w:sz w:val="16"/>
          <w:szCs w:val="16"/>
        </w:rPr>
      </w:pPr>
      <w:r w:rsidRPr="00942CD7">
        <w:rPr>
          <w:rFonts w:ascii="Times" w:hAnsi="Times"/>
          <w:noProof/>
          <w:sz w:val="16"/>
          <w:szCs w:val="16"/>
        </w:rPr>
        <w:t>8.</w:t>
      </w:r>
      <w:r w:rsidRPr="00942CD7">
        <w:rPr>
          <w:rFonts w:ascii="Times" w:hAnsi="Times"/>
          <w:noProof/>
          <w:sz w:val="16"/>
          <w:szCs w:val="16"/>
        </w:rPr>
        <w:tab/>
        <w:t xml:space="preserve">Roback JD, Caldwell S, Carson J, </w:t>
      </w:r>
      <w:r w:rsidRPr="00942CD7">
        <w:rPr>
          <w:rFonts w:ascii="Times" w:hAnsi="Times"/>
          <w:i/>
          <w:noProof/>
          <w:sz w:val="16"/>
          <w:szCs w:val="16"/>
        </w:rPr>
        <w:t>et al.</w:t>
      </w:r>
      <w:r w:rsidRPr="00942CD7">
        <w:rPr>
          <w:rFonts w:ascii="Times" w:hAnsi="Times"/>
          <w:noProof/>
          <w:sz w:val="16"/>
          <w:szCs w:val="16"/>
        </w:rPr>
        <w:t xml:space="preserve"> Evidence-based practice guidelines for plasma transfusion. </w:t>
      </w:r>
      <w:r w:rsidRPr="00942CD7">
        <w:rPr>
          <w:rFonts w:ascii="Times" w:hAnsi="Times"/>
          <w:i/>
          <w:noProof/>
          <w:sz w:val="16"/>
          <w:szCs w:val="16"/>
        </w:rPr>
        <w:t xml:space="preserve">Transfusion (Paris) </w:t>
      </w:r>
      <w:r w:rsidRPr="00942CD7">
        <w:rPr>
          <w:rFonts w:ascii="Times" w:hAnsi="Times"/>
          <w:noProof/>
          <w:sz w:val="16"/>
          <w:szCs w:val="16"/>
        </w:rPr>
        <w:t xml:space="preserve">2010; </w:t>
      </w:r>
      <w:r w:rsidRPr="00942CD7">
        <w:rPr>
          <w:rFonts w:ascii="Times" w:hAnsi="Times"/>
          <w:b/>
          <w:noProof/>
          <w:sz w:val="16"/>
          <w:szCs w:val="16"/>
        </w:rPr>
        <w:t xml:space="preserve">50: </w:t>
      </w:r>
      <w:r w:rsidRPr="00942CD7">
        <w:rPr>
          <w:rFonts w:ascii="Times" w:hAnsi="Times"/>
          <w:noProof/>
          <w:sz w:val="16"/>
          <w:szCs w:val="16"/>
        </w:rPr>
        <w:t xml:space="preserve">1227-1239. </w:t>
      </w:r>
    </w:p>
    <w:p w14:paraId="0756D654" w14:textId="77777777" w:rsidR="00AA6E8A" w:rsidRPr="00942CD7" w:rsidRDefault="00AA6E8A" w:rsidP="00AA6E8A">
      <w:pPr>
        <w:pStyle w:val="EndNoteBibliography"/>
        <w:ind w:left="720" w:hanging="720"/>
        <w:jc w:val="left"/>
        <w:rPr>
          <w:rFonts w:ascii="Times" w:hAnsi="Times"/>
          <w:noProof/>
          <w:sz w:val="16"/>
          <w:szCs w:val="16"/>
        </w:rPr>
      </w:pPr>
      <w:r>
        <w:rPr>
          <w:rFonts w:ascii="Times" w:hAnsi="Times"/>
          <w:noProof/>
          <w:sz w:val="16"/>
          <w:szCs w:val="16"/>
        </w:rPr>
        <w:t>9.</w:t>
      </w:r>
      <w:r>
        <w:rPr>
          <w:rFonts w:ascii="Times" w:hAnsi="Times"/>
          <w:noProof/>
          <w:sz w:val="16"/>
          <w:szCs w:val="16"/>
        </w:rPr>
        <w:tab/>
        <w:t xml:space="preserve">Bilecen S, de Groot JA, Kalkman CJ, et al. Effect of fibrinogen concentrate on intraoperative blood loss among patients with intraoperative bleeding during high-risk cardiac surgery: a randomized clinical trial. </w:t>
      </w:r>
      <w:r w:rsidRPr="00914357">
        <w:rPr>
          <w:rFonts w:ascii="Times" w:hAnsi="Times"/>
          <w:b/>
          <w:noProof/>
          <w:sz w:val="16"/>
          <w:szCs w:val="16"/>
        </w:rPr>
        <w:t xml:space="preserve">JAMA </w:t>
      </w:r>
      <w:r>
        <w:rPr>
          <w:rFonts w:ascii="Times" w:hAnsi="Times"/>
          <w:noProof/>
          <w:sz w:val="16"/>
          <w:szCs w:val="16"/>
        </w:rPr>
        <w:t xml:space="preserve">2017; 317: 738-747. </w:t>
      </w:r>
    </w:p>
    <w:p w14:paraId="2968FF60" w14:textId="5A238A1C" w:rsidR="00AA6E8A" w:rsidRPr="00942CD7" w:rsidRDefault="00AA6E8A" w:rsidP="00AA6E8A">
      <w:pPr>
        <w:pStyle w:val="EndNoteBibliography"/>
        <w:ind w:left="720" w:hanging="720"/>
        <w:jc w:val="left"/>
        <w:rPr>
          <w:rFonts w:ascii="Times" w:hAnsi="Times"/>
          <w:noProof/>
          <w:sz w:val="16"/>
          <w:szCs w:val="16"/>
        </w:rPr>
      </w:pPr>
      <w:r>
        <w:rPr>
          <w:rFonts w:ascii="Times" w:hAnsi="Times"/>
          <w:noProof/>
          <w:sz w:val="16"/>
          <w:szCs w:val="16"/>
        </w:rPr>
        <w:t>10</w:t>
      </w:r>
      <w:r w:rsidRPr="00942CD7">
        <w:rPr>
          <w:rFonts w:ascii="Times" w:hAnsi="Times"/>
          <w:noProof/>
          <w:sz w:val="16"/>
          <w:szCs w:val="16"/>
        </w:rPr>
        <w:t>.</w:t>
      </w:r>
      <w:r w:rsidRPr="00942CD7">
        <w:rPr>
          <w:rFonts w:ascii="Times" w:hAnsi="Times"/>
          <w:noProof/>
          <w:sz w:val="16"/>
          <w:szCs w:val="16"/>
        </w:rPr>
        <w:tab/>
        <w:t xml:space="preserve">Mayer SA, Brun NC, Begtrup K, </w:t>
      </w:r>
      <w:r w:rsidRPr="00942CD7">
        <w:rPr>
          <w:rFonts w:ascii="Times" w:hAnsi="Times"/>
          <w:i/>
          <w:noProof/>
          <w:sz w:val="16"/>
          <w:szCs w:val="16"/>
        </w:rPr>
        <w:t>et al.</w:t>
      </w:r>
      <w:r w:rsidRPr="00942CD7">
        <w:rPr>
          <w:rFonts w:ascii="Times" w:hAnsi="Times"/>
          <w:noProof/>
          <w:sz w:val="16"/>
          <w:szCs w:val="16"/>
        </w:rPr>
        <w:t xml:space="preserve"> Efficacy and safety of recombinant activated factor VII for acute intracerebral hemorrhage. </w:t>
      </w:r>
      <w:r w:rsidRPr="00942CD7">
        <w:rPr>
          <w:rFonts w:ascii="Times" w:hAnsi="Times"/>
          <w:i/>
          <w:noProof/>
          <w:sz w:val="16"/>
          <w:szCs w:val="16"/>
        </w:rPr>
        <w:t xml:space="preserve">N Engl J Med </w:t>
      </w:r>
      <w:r w:rsidRPr="00942CD7">
        <w:rPr>
          <w:rFonts w:ascii="Times" w:hAnsi="Times"/>
          <w:noProof/>
          <w:sz w:val="16"/>
          <w:szCs w:val="16"/>
        </w:rPr>
        <w:t xml:space="preserve">2008; </w:t>
      </w:r>
      <w:r w:rsidRPr="00942CD7">
        <w:rPr>
          <w:rFonts w:ascii="Times" w:hAnsi="Times"/>
          <w:b/>
          <w:noProof/>
          <w:sz w:val="16"/>
          <w:szCs w:val="16"/>
        </w:rPr>
        <w:t xml:space="preserve">358: </w:t>
      </w:r>
      <w:r w:rsidR="006761CA">
        <w:rPr>
          <w:rFonts w:ascii="Times" w:hAnsi="Times"/>
          <w:noProof/>
          <w:sz w:val="16"/>
          <w:szCs w:val="16"/>
        </w:rPr>
        <w:t>2127-2137</w:t>
      </w:r>
    </w:p>
    <w:sectPr w:rsidR="00AA6E8A" w:rsidRPr="00942CD7" w:rsidSect="00CD09FD">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メイリオ">
    <w:panose1 w:val="020B0604030504040204"/>
    <w:charset w:val="4E"/>
    <w:family w:val="auto"/>
    <w:pitch w:val="variable"/>
    <w:sig w:usb0="E10102FF" w:usb1="EAC7FFFF" w:usb2="00010012"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C2511"/>
    <w:multiLevelType w:val="hybridMultilevel"/>
    <w:tmpl w:val="68144CAE"/>
    <w:lvl w:ilvl="0" w:tplc="7368DFFE">
      <w:numFmt w:val="bullet"/>
      <w:lvlText w:val="・"/>
      <w:lvlJc w:val="left"/>
      <w:pPr>
        <w:ind w:left="480" w:hanging="48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C0915"/>
    <w:rsid w:val="001374D3"/>
    <w:rsid w:val="001725F6"/>
    <w:rsid w:val="00195145"/>
    <w:rsid w:val="001F672C"/>
    <w:rsid w:val="005D4F80"/>
    <w:rsid w:val="006761CA"/>
    <w:rsid w:val="006D404D"/>
    <w:rsid w:val="00873728"/>
    <w:rsid w:val="00914357"/>
    <w:rsid w:val="0093394C"/>
    <w:rsid w:val="00942CD7"/>
    <w:rsid w:val="00AA6E8A"/>
    <w:rsid w:val="00BC17BE"/>
    <w:rsid w:val="00C0151C"/>
    <w:rsid w:val="00CA3C2A"/>
    <w:rsid w:val="00D10ED6"/>
    <w:rsid w:val="00EB5A03"/>
    <w:rsid w:val="00FC0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7603C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C0915"/>
    <w:pPr>
      <w:ind w:leftChars="400" w:left="960"/>
    </w:pPr>
  </w:style>
  <w:style w:type="paragraph" w:customStyle="1" w:styleId="EndNoteBibliographyTitle">
    <w:name w:val="EndNote Bibliography Title"/>
    <w:basedOn w:val="a"/>
    <w:rsid w:val="00FC0915"/>
    <w:pPr>
      <w:jc w:val="center"/>
    </w:pPr>
    <w:rPr>
      <w:rFonts w:ascii="Century" w:hAnsi="Century"/>
    </w:rPr>
  </w:style>
  <w:style w:type="paragraph" w:customStyle="1" w:styleId="EndNoteBibliography">
    <w:name w:val="EndNote Bibliography"/>
    <w:basedOn w:val="a"/>
    <w:rsid w:val="00FC0915"/>
    <w:rPr>
      <w:rFonts w:ascii="Century" w:hAnsi="Century"/>
    </w:rPr>
  </w:style>
  <w:style w:type="paragraph" w:styleId="a5">
    <w:name w:val="Date"/>
    <w:basedOn w:val="a"/>
    <w:next w:val="a"/>
    <w:link w:val="a6"/>
    <w:uiPriority w:val="99"/>
    <w:unhideWhenUsed/>
    <w:rsid w:val="00FC0915"/>
    <w:rPr>
      <w:sz w:val="20"/>
      <w:szCs w:val="20"/>
    </w:rPr>
  </w:style>
  <w:style w:type="character" w:customStyle="1" w:styleId="a6">
    <w:name w:val="日付 (文字)"/>
    <w:basedOn w:val="a0"/>
    <w:link w:val="a5"/>
    <w:uiPriority w:val="99"/>
    <w:rsid w:val="00FC0915"/>
    <w:rPr>
      <w:sz w:val="20"/>
      <w:szCs w:val="20"/>
    </w:rPr>
  </w:style>
  <w:style w:type="character" w:styleId="a7">
    <w:name w:val="Hyperlink"/>
    <w:basedOn w:val="a0"/>
    <w:uiPriority w:val="99"/>
    <w:unhideWhenUsed/>
    <w:rsid w:val="00FC091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09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C0915"/>
    <w:pPr>
      <w:ind w:leftChars="400" w:left="960"/>
    </w:pPr>
  </w:style>
  <w:style w:type="paragraph" w:customStyle="1" w:styleId="EndNoteBibliographyTitle">
    <w:name w:val="EndNote Bibliography Title"/>
    <w:basedOn w:val="a"/>
    <w:rsid w:val="00FC0915"/>
    <w:pPr>
      <w:jc w:val="center"/>
    </w:pPr>
    <w:rPr>
      <w:rFonts w:ascii="Century" w:hAnsi="Century"/>
    </w:rPr>
  </w:style>
  <w:style w:type="paragraph" w:customStyle="1" w:styleId="EndNoteBibliography">
    <w:name w:val="EndNote Bibliography"/>
    <w:basedOn w:val="a"/>
    <w:rsid w:val="00FC0915"/>
    <w:rPr>
      <w:rFonts w:ascii="Century" w:hAnsi="Century"/>
    </w:rPr>
  </w:style>
  <w:style w:type="paragraph" w:styleId="a5">
    <w:name w:val="Date"/>
    <w:basedOn w:val="a"/>
    <w:next w:val="a"/>
    <w:link w:val="a6"/>
    <w:uiPriority w:val="99"/>
    <w:unhideWhenUsed/>
    <w:rsid w:val="00FC0915"/>
    <w:rPr>
      <w:sz w:val="20"/>
      <w:szCs w:val="20"/>
    </w:rPr>
  </w:style>
  <w:style w:type="character" w:customStyle="1" w:styleId="a6">
    <w:name w:val="日付 (文字)"/>
    <w:basedOn w:val="a0"/>
    <w:link w:val="a5"/>
    <w:uiPriority w:val="99"/>
    <w:rsid w:val="00FC0915"/>
    <w:rPr>
      <w:sz w:val="20"/>
      <w:szCs w:val="20"/>
    </w:rPr>
  </w:style>
  <w:style w:type="character" w:styleId="a7">
    <w:name w:val="Hyperlink"/>
    <w:basedOn w:val="a0"/>
    <w:uiPriority w:val="99"/>
    <w:unhideWhenUsed/>
    <w:rsid w:val="00FC0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583</Words>
  <Characters>3326</Characters>
  <Application>Microsoft Macintosh Word</Application>
  <DocSecurity>0</DocSecurity>
  <Lines>27</Lines>
  <Paragraphs>7</Paragraphs>
  <ScaleCrop>false</ScaleCrop>
  <Company>大分大学医学部</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正男</dc:creator>
  <cp:keywords/>
  <dc:description/>
  <cp:lastModifiedBy>緒方 正男</cp:lastModifiedBy>
  <cp:revision>16</cp:revision>
  <dcterms:created xsi:type="dcterms:W3CDTF">2017-02-09T09:36:00Z</dcterms:created>
  <dcterms:modified xsi:type="dcterms:W3CDTF">2017-04-17T09:46:00Z</dcterms:modified>
</cp:coreProperties>
</file>